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APPEL À PROJETS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RÉSIDENCES DE CRÉATION ARTISTIQUE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ANNÉE 2019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-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hAnsi="Trebuchet MS" w:cs="Trebuchet MS"/>
          <w:b/>
          <w:bCs/>
          <w:color w:val="000000"/>
          <w:sz w:val="32"/>
          <w:szCs w:val="32"/>
        </w:rPr>
        <w:t>Dossier de candidature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7E60D8" w:rsidRDefault="007E60D8" w:rsidP="007E60D8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  <w:t>IDENTITÉ DU PORTEUR DE PROJET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Nom de la compagnie, ou du groupe ou de l’artiste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Titre du projet (provisoire ou définitif)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Nom de la structure juridique portant le projet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Adresse du siège social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Adresse d’envoi du courrier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bookmarkStart w:id="0" w:name="_GoBack"/>
      <w:bookmarkEnd w:id="0"/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Adresse email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Téléphone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N° SIRET ou RNA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Code APE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Ou N° de la Maison des artistes ou AGESSA*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Ou N° de sécurité sociale*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Ou N° de licence d’entrepreneur de spectacles**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Nom et qualité du responsable légal de la structure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Contact artistique (nom/téléphone/email)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Contact administratif (nom/téléphone/email)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Contact technique (nom/téléphone/email)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Site web/Facebook/autres réseaux sociaux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  <w:t>*à renseigner pour une candidature sous statut d’auteur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i/>
          <w:iCs/>
          <w:color w:val="000000"/>
          <w:sz w:val="22"/>
          <w:szCs w:val="22"/>
          <w:u w:color="000000"/>
        </w:rPr>
        <w:t>**à renseigner pour une candidature à une résidence de production pour le spectacle vivant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  <w:lastRenderedPageBreak/>
        <w:t>PARCOURS ARTISTIQUE DU PORTEUR DE PROJET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Présentation et démarche artistique du porteur de projet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Principales productions et réalisations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FB0007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Principales diffusions des œuvres produites (représentations, expositions, publications, </w:t>
      </w:r>
      <w:proofErr w:type="gramStart"/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concerts…)</w:t>
      </w:r>
      <w:proofErr w:type="gramEnd"/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val="single" w:color="000000"/>
        </w:rPr>
        <w:t>LE PROJET DE RÉSIDENCE DE CRÉATION ARTISTIQUE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Champ artistique du projet (discipline majoritaire), </w:t>
      </w:r>
      <w:r>
        <w:rPr>
          <w:rFonts w:ascii="Trebuchet MS" w:hAnsi="Trebuchet MS" w:cs="Trebuchet MS"/>
          <w:b/>
          <w:bCs/>
          <w:color w:val="FB0007"/>
          <w:sz w:val="22"/>
          <w:szCs w:val="22"/>
          <w:u w:val="single" w:color="FB0007"/>
        </w:rPr>
        <w:t>une seule case à cocher</w:t>
      </w:r>
      <w:r>
        <w:rPr>
          <w:rFonts w:ascii="Trebuchet MS" w:hAnsi="Trebuchet MS" w:cs="Trebuchet MS"/>
          <w:b/>
          <w:bCs/>
          <w:color w:val="FB0007"/>
          <w:sz w:val="22"/>
          <w:szCs w:val="22"/>
          <w:u w:color="FB0007"/>
        </w:rPr>
        <w:t> 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>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>Musique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ab/>
      </w:r>
    </w:p>
    <w:p w:rsidR="007E60D8" w:rsidRDefault="007E60D8" w:rsidP="007E60D8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>Spectacle vivant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ab/>
      </w:r>
    </w:p>
    <w:p w:rsidR="007E60D8" w:rsidRDefault="007E60D8" w:rsidP="007E60D8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>Arts visuels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 xml:space="preserve">Type de résidence, </w:t>
      </w:r>
      <w:r>
        <w:rPr>
          <w:rFonts w:ascii="Trebuchet MS" w:hAnsi="Trebuchet MS" w:cs="Trebuchet MS"/>
          <w:b/>
          <w:bCs/>
          <w:color w:val="FB0007"/>
          <w:sz w:val="22"/>
          <w:szCs w:val="22"/>
          <w:u w:val="single" w:color="FB0007"/>
        </w:rPr>
        <w:t>une seule case à cocher</w:t>
      </w:r>
      <w:r>
        <w:rPr>
          <w:rFonts w:ascii="Trebuchet MS" w:hAnsi="Trebuchet MS" w:cs="Trebuchet MS"/>
          <w:b/>
          <w:bCs/>
          <w:color w:val="FB0007"/>
          <w:sz w:val="22"/>
          <w:szCs w:val="22"/>
          <w:u w:color="FB0007"/>
        </w:rPr>
        <w:t> 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>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 xml:space="preserve">Résidence de laboratoire </w:t>
      </w:r>
      <w:r>
        <w:rPr>
          <w:rFonts w:ascii="Trebuchet MS" w:hAnsi="Trebuchet MS" w:cs="Trebuchet MS"/>
          <w:color w:val="000000"/>
          <w:sz w:val="22"/>
          <w:szCs w:val="22"/>
          <w:u w:color="FB0007"/>
        </w:rPr>
        <w:t>(le travail de recherche, d’expérimentation et/ou d’écriture a lieu en 2019)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ab/>
      </w:r>
    </w:p>
    <w:p w:rsidR="007E60D8" w:rsidRDefault="007E60D8" w:rsidP="007E60D8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 xml:space="preserve">Résidence de territoire </w:t>
      </w:r>
      <w:r>
        <w:rPr>
          <w:rFonts w:ascii="Trebuchet MS" w:hAnsi="Trebuchet MS" w:cs="Trebuchet MS"/>
          <w:color w:val="000000"/>
          <w:sz w:val="22"/>
          <w:szCs w:val="22"/>
          <w:u w:color="FB0007"/>
        </w:rPr>
        <w:t>(le travail est orienté en actions culturelles en lien direct avec les publics)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ab/>
      </w:r>
    </w:p>
    <w:p w:rsidR="007E60D8" w:rsidRDefault="007E60D8" w:rsidP="007E60D8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 xml:space="preserve">Résidence de production </w:t>
      </w:r>
      <w:r>
        <w:rPr>
          <w:rFonts w:ascii="Trebuchet MS" w:hAnsi="Trebuchet MS" w:cs="Trebuchet MS"/>
          <w:color w:val="000000"/>
          <w:sz w:val="22"/>
          <w:szCs w:val="22"/>
          <w:u w:color="FB0007"/>
        </w:rPr>
        <w:t>(la production sera aboutie sur l’année 2019)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trike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>Présentation du projet artistique sous forme de note d'intention précisant les axes spécifiques de travail à développer pendant la résidence (1700 signes maximum)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FB0007"/>
        </w:rPr>
        <w:t>Le porteur de projet est invité à joindre à l’appui de sa note d’intention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FB0007"/>
        </w:rPr>
      </w:pPr>
    </w:p>
    <w:p w:rsidR="007E60D8" w:rsidRDefault="007E60D8" w:rsidP="007E60D8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val="single" w:color="000000"/>
        </w:rPr>
        <w:t xml:space="preserve">Pour les arts visuels : </w:t>
      </w:r>
    </w:p>
    <w:p w:rsidR="007E60D8" w:rsidRDefault="007E60D8" w:rsidP="007E60D8">
      <w:pPr>
        <w:widowControl w:val="0"/>
        <w:numPr>
          <w:ilvl w:val="1"/>
          <w:numId w:val="10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Un portfolio pour la résidence de laboratoire</w:t>
      </w:r>
    </w:p>
    <w:p w:rsidR="007E60D8" w:rsidRDefault="007E60D8" w:rsidP="007E60D8">
      <w:pPr>
        <w:widowControl w:val="0"/>
        <w:numPr>
          <w:ilvl w:val="1"/>
          <w:numId w:val="10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Un portfolio et le programme d’action culturelle pour la résidence de territoire</w:t>
      </w:r>
    </w:p>
    <w:p w:rsidR="007E60D8" w:rsidRDefault="007E60D8" w:rsidP="007E60D8">
      <w:pPr>
        <w:widowControl w:val="0"/>
        <w:numPr>
          <w:ilvl w:val="1"/>
          <w:numId w:val="10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Un portfolio, le projet de production et son mode de diffusion pour la résidence de production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val="single" w:color="000000"/>
        </w:rPr>
        <w:t xml:space="preserve">Pour la musique : </w:t>
      </w:r>
    </w:p>
    <w:p w:rsidR="007E60D8" w:rsidRDefault="007E60D8" w:rsidP="007E60D8">
      <w:pPr>
        <w:widowControl w:val="0"/>
        <w:numPr>
          <w:ilvl w:val="1"/>
          <w:numId w:val="11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 présentation détaillée du groupe, liens web (réseaux sociaux, clip vidéo) pour la résidence de laboratoire</w:t>
      </w:r>
    </w:p>
    <w:p w:rsidR="007E60D8" w:rsidRDefault="007E60D8" w:rsidP="007E60D8">
      <w:pPr>
        <w:widowControl w:val="0"/>
        <w:numPr>
          <w:ilvl w:val="1"/>
          <w:numId w:val="11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 présentation détaillée du groupe, liens web et le programme d’action culturelle pour la résidence de territoire</w:t>
      </w:r>
    </w:p>
    <w:p w:rsidR="007E60D8" w:rsidRDefault="007E60D8" w:rsidP="007E60D8">
      <w:pPr>
        <w:widowControl w:val="0"/>
        <w:numPr>
          <w:ilvl w:val="1"/>
          <w:numId w:val="11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 présentation détaillée du groupe, son niveau de structuration, liens web, le projet de production et son mode de diffusion pour la résidence de production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val="single" w:color="000000"/>
        </w:rPr>
        <w:t xml:space="preserve">Pour le spectacle vivant : </w:t>
      </w:r>
    </w:p>
    <w:p w:rsidR="007E60D8" w:rsidRDefault="007E60D8" w:rsidP="007E60D8">
      <w:pPr>
        <w:widowControl w:val="0"/>
        <w:numPr>
          <w:ilvl w:val="1"/>
          <w:numId w:val="1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 présentation détaillée de la compagnie pour la résidence de laboratoire</w:t>
      </w:r>
    </w:p>
    <w:p w:rsidR="007E60D8" w:rsidRDefault="007E60D8" w:rsidP="007E60D8">
      <w:pPr>
        <w:widowControl w:val="0"/>
        <w:numPr>
          <w:ilvl w:val="1"/>
          <w:numId w:val="1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 présentation détaillée de la compagnie et le programme d’action culturelle pour la résidence de territoire</w:t>
      </w:r>
    </w:p>
    <w:p w:rsidR="007E60D8" w:rsidRDefault="007E60D8" w:rsidP="007E60D8">
      <w:pPr>
        <w:widowControl w:val="0"/>
        <w:numPr>
          <w:ilvl w:val="1"/>
          <w:numId w:val="1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La présentation détaillée de la compagnie, son niveau de structuration, le projet de production et son mode de diffusion pour la résidence de production 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Distribution de l’équipe artistique (nom et fonction de chaque membre) 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Collaboration(s) artistique(s) extérieure(s) à La Réunion 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Propositions d’actions culturelles associées au projet artistique en direction des publics en répondant aux questions suivantes 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Présentation du programme d’action culturelle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 </w:t>
      </w:r>
    </w:p>
    <w:p w:rsidR="007E60D8" w:rsidRDefault="007E60D8" w:rsidP="007E60D8">
      <w:pPr>
        <w:widowControl w:val="0"/>
        <w:numPr>
          <w:ilvl w:val="0"/>
          <w:numId w:val="1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Quel(s) public(s) ?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Quelle(s) activité(s) ?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1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Quel(s) lien(s) avec le projet ?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1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Quel(s) objectif(s) ?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Besoins techniques spécifiques dans le cadre de la résidence (espaces de travail sous réserve de disponibilité) 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Webdings" w:hAnsi="Webdings" w:cs="Webdings"/>
          <w:color w:val="000000"/>
          <w:sz w:val="22"/>
          <w:szCs w:val="22"/>
          <w:u w:color="000000"/>
        </w:rPr>
        <w:t></w:t>
      </w:r>
      <w:r>
        <w:rPr>
          <w:rFonts w:ascii="Webdings" w:hAnsi="Webdings" w:cs="Webdings"/>
          <w:color w:val="000000"/>
          <w:sz w:val="22"/>
          <w:szCs w:val="22"/>
          <w:u w:color="000000"/>
        </w:rPr>
        <w:tab/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Espace de travail à nu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Webdings" w:hAnsi="Webdings" w:cs="Webdings"/>
          <w:color w:val="000000"/>
          <w:sz w:val="22"/>
          <w:szCs w:val="22"/>
          <w:u w:color="000000"/>
        </w:rPr>
        <w:t></w:t>
      </w:r>
      <w:r>
        <w:rPr>
          <w:rFonts w:ascii="Webdings" w:hAnsi="Webdings" w:cs="Webdings"/>
          <w:color w:val="000000"/>
          <w:sz w:val="22"/>
          <w:szCs w:val="22"/>
          <w:u w:color="000000"/>
        </w:rPr>
        <w:tab/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Espace de travail en condition scénique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Webdings" w:hAnsi="Webdings" w:cs="Webdings"/>
          <w:color w:val="000000"/>
          <w:sz w:val="22"/>
          <w:szCs w:val="22"/>
          <w:u w:color="000000"/>
        </w:rPr>
        <w:t></w:t>
      </w:r>
      <w:r>
        <w:rPr>
          <w:rFonts w:ascii="Webdings" w:hAnsi="Webdings" w:cs="Webdings"/>
          <w:color w:val="000000"/>
          <w:sz w:val="22"/>
          <w:szCs w:val="22"/>
          <w:u w:color="000000"/>
        </w:rPr>
        <w:tab/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Espace de travail au noir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Webdings" w:hAnsi="Webdings" w:cs="Webdings"/>
          <w:color w:val="000000"/>
          <w:sz w:val="22"/>
          <w:szCs w:val="22"/>
          <w:u w:color="000000"/>
        </w:rPr>
        <w:t></w:t>
      </w:r>
      <w:r>
        <w:rPr>
          <w:rFonts w:ascii="Webdings" w:hAnsi="Webdings" w:cs="Webdings"/>
          <w:color w:val="000000"/>
          <w:sz w:val="22"/>
          <w:szCs w:val="22"/>
          <w:u w:color="000000"/>
        </w:rPr>
        <w:tab/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Espace de travail pour enregistrement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Webdings" w:hAnsi="Webdings" w:cs="Webding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Besoins en hébergement 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1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Nombre de personnes à héberger 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1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Noms et fonctions au sein de l’équipe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Provenance des personnes 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Pr="007E60D8" w:rsidRDefault="007E60D8" w:rsidP="007E60D8">
      <w:pPr>
        <w:widowControl w:val="0"/>
        <w:numPr>
          <w:ilvl w:val="0"/>
          <w:numId w:val="20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La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formule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twin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est-elle acceptée ?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Nombre de jours souhaités de résidence, période envisagée, durée totale nécessaire 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Autres partenaires du projet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Confirmés 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2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Pressentis 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Perspectives de diffusion du projet :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2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Confirmées 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numPr>
          <w:ilvl w:val="0"/>
          <w:numId w:val="2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Pressenties :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Budget prévisionnel détaillé du projet, faisant apparaître les cofinancements acquis et en cours </w:t>
      </w: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  <w:t>(à joindre en annexe)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6"/>
          <w:szCs w:val="26"/>
          <w:u w:color="000000"/>
        </w:rPr>
      </w:pPr>
      <w:r>
        <w:rPr>
          <w:rFonts w:ascii="Trebuchet MS" w:hAnsi="Trebuchet MS" w:cs="Trebuchet MS"/>
          <w:color w:val="000000"/>
          <w:sz w:val="26"/>
          <w:szCs w:val="26"/>
          <w:u w:color="000000"/>
        </w:rPr>
        <w:t xml:space="preserve">NB: Pour tout projet retenu, la Cité des Arts répondra aux besoins exprimés (en termes de besoins techniques, de calendrier, </w:t>
      </w:r>
      <w:r>
        <w:rPr>
          <w:rFonts w:ascii="Trebuchet MS" w:hAnsi="Trebuchet MS" w:cs="Trebuchet MS"/>
          <w:color w:val="000000"/>
          <w:sz w:val="26"/>
          <w:szCs w:val="26"/>
          <w:u w:color="000000"/>
        </w:rPr>
        <w:t>d’hébergement)</w:t>
      </w:r>
      <w:r>
        <w:rPr>
          <w:rFonts w:ascii="Trebuchet MS" w:hAnsi="Trebuchet MS" w:cs="Trebuchet MS"/>
          <w:color w:val="000000"/>
          <w:sz w:val="26"/>
          <w:szCs w:val="26"/>
          <w:u w:color="000000"/>
        </w:rPr>
        <w:t xml:space="preserve"> en fonction de ses possibilités. </w:t>
      </w:r>
    </w:p>
    <w:p w:rsidR="007E60D8" w:rsidRDefault="007E60D8" w:rsidP="007E60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6"/>
          <w:szCs w:val="26"/>
          <w:u w:color="000000"/>
        </w:rPr>
      </w:pPr>
    </w:p>
    <w:p w:rsidR="00436140" w:rsidRDefault="007E60D8" w:rsidP="007E60D8">
      <w:pPr>
        <w:jc w:val="both"/>
      </w:pPr>
      <w:r>
        <w:rPr>
          <w:rFonts w:ascii="Trebuchet MS" w:hAnsi="Trebuchet MS" w:cs="Trebuchet MS"/>
          <w:color w:val="000000"/>
          <w:sz w:val="26"/>
          <w:szCs w:val="26"/>
          <w:u w:color="000000"/>
        </w:rPr>
        <w:t>Si votre projet est retenu, deux rendez-vous de mise au point conditionnent votre entrée en résidence : un rendez-vous avec le service production puis un rendez-vous avec le service technique permettront la formalisation de la convention d’accueil en résidence avant le début effectif de celle-ci.</w:t>
      </w:r>
    </w:p>
    <w:sectPr w:rsidR="00436140" w:rsidSect="00163B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-"/>
      <w:lvlJc w:val="left"/>
      <w:pPr>
        <w:ind w:left="720" w:hanging="360"/>
      </w:pPr>
    </w:lvl>
    <w:lvl w:ilvl="1" w:tplc="00000386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-"/>
      <w:lvlJc w:val="left"/>
      <w:pPr>
        <w:ind w:left="720" w:hanging="360"/>
      </w:pPr>
    </w:lvl>
    <w:lvl w:ilvl="1" w:tplc="000003EA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-"/>
      <w:lvlJc w:val="left"/>
      <w:pPr>
        <w:ind w:left="720" w:hanging="360"/>
      </w:pPr>
    </w:lvl>
    <w:lvl w:ilvl="1" w:tplc="0000044E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D8"/>
    <w:rsid w:val="00163B39"/>
    <w:rsid w:val="00436140"/>
    <w:rsid w:val="007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91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733</Words>
  <Characters>4037</Characters>
  <Application>Microsoft Macintosh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2018-07-05T08:39:00Z</dcterms:created>
  <dcterms:modified xsi:type="dcterms:W3CDTF">2018-07-05T08:43:00Z</dcterms:modified>
</cp:coreProperties>
</file>